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F76E57" w:rsidRDefault="00F76E57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074DFD" w:rsidRPr="00074DFD" w:rsidRDefault="00074DFD" w:rsidP="00074DFD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32.-</w:t>
      </w: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Tratándose de licitaciones públicas internacionales bajo la cobertura de tratados, el plazo entre la publicación de la convocatoria a la licitación pública y el acto de presentación y apertura de proposiciones, no podrá ser inferior a cuarenta días naturales, salvo en los casos de urgencia debidamente justificados por el titular del Área requirente y autorizados por el titular del Área responsable de la contratación, en los cuales podrá reducirse a no menos de diez días naturales, conforme a las disposiciones de los Tratados y al penúltimo párrafo del artículo 33 de la Ley.</w:t>
      </w:r>
    </w:p>
    <w:p w:rsidR="00074DFD" w:rsidRPr="00074DFD" w:rsidRDefault="00074DFD" w:rsidP="00074DFD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>Atendiendo a lo señalado en el último párrafo del artículo 31 de este Reglamento, para el supuesto indicado en el párrafo anterior el acto de presentación y apertura deberá celebrarse como mínimo el día cuarenta y uno u once según corresponda, o al día siguiente hábil en caso de que los mismos fueran inhábiles.</w:t>
      </w:r>
    </w:p>
    <w:p w:rsidR="00074DFD" w:rsidRDefault="00074DFD" w:rsidP="00074DFD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074DFD" w:rsidRDefault="00074DFD" w:rsidP="00074DFD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074DFD" w:rsidRPr="00074DFD" w:rsidRDefault="00074DFD" w:rsidP="00074DFD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68.-</w:t>
      </w: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Al finalizar la evaluación de las proposiciones, las dependencias y entidades deberán emitir un fallo, el cual contendrá lo establecido en el artículo 39 de la Ley.</w:t>
      </w:r>
    </w:p>
    <w:p w:rsidR="00074DFD" w:rsidRPr="00074DFD" w:rsidRDefault="00074DFD" w:rsidP="00074DFD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>La información soporte utilizada por la convocante para realizar la adjudicación del contrato en los procedimientos de contratación deberá integrarse en el expediente correspondiente.</w:t>
      </w:r>
    </w:p>
    <w:p w:rsidR="00074DFD" w:rsidRPr="00074DFD" w:rsidRDefault="00074DFD" w:rsidP="00074DFD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>Los fallos de las licitaciones internacionales bajo la cobertura de los tratados, se publicarán en el Diario Oficial de la Federación, dentro de los setenta y dos días naturales siguientes al de su emisión, precisando el nombre y domicilio de la convocante, el número de licitación, la descripción genérica de las obras o servicios objeto de la licitación, la fecha del fallo, el nombre y domicilio de los licitantes ganadores, así como el monto total del contrato adjudicado.</w:t>
      </w:r>
    </w:p>
    <w:p w:rsidR="00074DFD" w:rsidRPr="00074DFD" w:rsidRDefault="00074DFD" w:rsidP="00074DFD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>En el caso de que los licitantes no proporcionen la dirección de correo electrónico a que se refiere la fracción XIII del artículo 31 de la Ley, la convocante quedará eximida de la obligación de realizar el aviso a que hacen referencia los párrafos cuarto y octavo del artículo 39 de la Ley.</w:t>
      </w:r>
    </w:p>
    <w:p w:rsidR="00074DFD" w:rsidRPr="00074DFD" w:rsidRDefault="00074DFD" w:rsidP="00074DFD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74DFD">
        <w:rPr>
          <w:rFonts w:ascii="Arial" w:eastAsia="Times New Roman" w:hAnsi="Arial" w:cs="Arial"/>
          <w:sz w:val="18"/>
          <w:szCs w:val="20"/>
          <w:lang w:val="es-ES" w:eastAsia="es-ES"/>
        </w:rPr>
        <w:t>Cuando sea notificado el fallo, el licitante ganador podrá, bajo su responsabilidad y riesgo y con la autorización de la dependencia o entidad, iniciar los actos previos al inicio de los trabajos, tales como el movimiento de maquinaria, personal y demás insumos que considere pertinentes a efecto de agilizar el inicio de los trabajos, siempre y cuando existan las condiciones para tales efectos. Lo anterior independientemente de la fecha de firma del contrato.</w:t>
      </w:r>
    </w:p>
    <w:p w:rsidR="00074DFD" w:rsidRPr="00074DFD" w:rsidRDefault="00074DFD" w:rsidP="00074DFD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</w:p>
    <w:sectPr w:rsidR="00074DFD" w:rsidRPr="00074D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71FD"/>
    <w:rsid w:val="00074DFD"/>
    <w:rsid w:val="00111CA8"/>
    <w:rsid w:val="002815CE"/>
    <w:rsid w:val="002955CA"/>
    <w:rsid w:val="00413DB3"/>
    <w:rsid w:val="00457BE9"/>
    <w:rsid w:val="00473543"/>
    <w:rsid w:val="00495979"/>
    <w:rsid w:val="005C1837"/>
    <w:rsid w:val="00692AD0"/>
    <w:rsid w:val="006950E2"/>
    <w:rsid w:val="006F7B91"/>
    <w:rsid w:val="00800CAE"/>
    <w:rsid w:val="00923585"/>
    <w:rsid w:val="009E4EBF"/>
    <w:rsid w:val="00A94018"/>
    <w:rsid w:val="00B32B83"/>
    <w:rsid w:val="00EE42A6"/>
    <w:rsid w:val="00F020DB"/>
    <w:rsid w:val="00F5142C"/>
    <w:rsid w:val="00F719BE"/>
    <w:rsid w:val="00F7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2013-04-10T17:06:00Z</dcterms:created>
  <dcterms:modified xsi:type="dcterms:W3CDTF">2013-04-10T17:06:00Z</dcterms:modified>
</cp:coreProperties>
</file>